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B" w:rsidRPr="000C7F4B" w:rsidRDefault="000C7F4B">
      <w:pPr>
        <w:rPr>
          <w:b/>
        </w:rPr>
      </w:pPr>
      <w:r w:rsidRPr="000C7F4B">
        <w:rPr>
          <w:b/>
        </w:rPr>
        <w:t xml:space="preserve">How do I replace </w:t>
      </w:r>
      <w:r>
        <w:rPr>
          <w:b/>
        </w:rPr>
        <w:t xml:space="preserve">my </w:t>
      </w:r>
      <w:r w:rsidRPr="000C7F4B">
        <w:rPr>
          <w:b/>
        </w:rPr>
        <w:t>old MSDS</w:t>
      </w:r>
      <w:r>
        <w:rPr>
          <w:b/>
        </w:rPr>
        <w:t xml:space="preserve">s with </w:t>
      </w:r>
      <w:r w:rsidR="00267D2B">
        <w:rPr>
          <w:b/>
        </w:rPr>
        <w:t>the</w:t>
      </w:r>
      <w:r w:rsidRPr="000C7F4B">
        <w:rPr>
          <w:b/>
        </w:rPr>
        <w:t xml:space="preserve"> new</w:t>
      </w:r>
      <w:r w:rsidR="00267D2B">
        <w:rPr>
          <w:b/>
        </w:rPr>
        <w:t>ly</w:t>
      </w:r>
      <w:r w:rsidRPr="000C7F4B">
        <w:rPr>
          <w:b/>
        </w:rPr>
        <w:t xml:space="preserve"> format</w:t>
      </w:r>
      <w:r w:rsidR="00267D2B">
        <w:rPr>
          <w:b/>
        </w:rPr>
        <w:t>ted SDSs</w:t>
      </w:r>
      <w:r w:rsidRPr="000C7F4B">
        <w:rPr>
          <w:b/>
        </w:rPr>
        <w:t>?</w:t>
      </w:r>
    </w:p>
    <w:p w:rsidR="000C7F4B" w:rsidRDefault="000C7F4B">
      <w:r>
        <w:t xml:space="preserve">Safety Data Sheets </w:t>
      </w:r>
      <w:r w:rsidR="004F17F3">
        <w:t xml:space="preserve">(2012 forward) </w:t>
      </w:r>
      <w:r>
        <w:t xml:space="preserve">will be available from manufacturers in the same manner as Material Safety Data Sheets </w:t>
      </w:r>
      <w:r w:rsidR="004F17F3">
        <w:t>were</w:t>
      </w:r>
      <w:r>
        <w:t xml:space="preserve"> in the past.  Here are several options for locating the Safety Data Sheets</w:t>
      </w:r>
      <w:r w:rsidR="00267D2B">
        <w:t>:</w:t>
      </w:r>
    </w:p>
    <w:p w:rsidR="00D02F14" w:rsidRPr="00E959BC" w:rsidRDefault="00D02F14" w:rsidP="000C4642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E959BC">
        <w:rPr>
          <w:u w:val="single"/>
        </w:rPr>
        <w:t>Access on Internet</w:t>
      </w:r>
    </w:p>
    <w:p w:rsidR="000C7F4B" w:rsidRDefault="000C7F4B" w:rsidP="000C4642">
      <w:pPr>
        <w:ind w:left="360"/>
      </w:pPr>
      <w:r>
        <w:t>Access one of the larger chemical manufacturer websites and search for the chemical(s) name. The name should match the label on the manufacturer</w:t>
      </w:r>
      <w:r w:rsidR="00403FAC">
        <w:t>’s</w:t>
      </w:r>
      <w:r>
        <w:t xml:space="preserve"> container </w:t>
      </w:r>
      <w:r w:rsidR="00403FAC">
        <w:t xml:space="preserve">label </w:t>
      </w:r>
      <w:r>
        <w:t>(</w:t>
      </w:r>
      <w:r w:rsidR="00403FAC">
        <w:t xml:space="preserve">including </w:t>
      </w:r>
      <w:r>
        <w:t>percentages, inhibitors</w:t>
      </w:r>
      <w:r w:rsidR="00403FAC">
        <w:t xml:space="preserve"> additions</w:t>
      </w:r>
      <w:r>
        <w:t>, etc.). As long as the exact name matches, it is acceptable to use an SDS from a different manufacturer than the one on the container.</w:t>
      </w:r>
    </w:p>
    <w:p w:rsidR="00403FAC" w:rsidRDefault="00403FAC" w:rsidP="000C4642">
      <w:pPr>
        <w:ind w:left="360"/>
      </w:pPr>
      <w:r>
        <w:t>Here are some links where you can perform searche</w:t>
      </w:r>
      <w:r w:rsidR="00E015ED">
        <w:t>s and obtain SDSs for free with no login</w:t>
      </w:r>
      <w:r w:rsidR="0024794E">
        <w:t xml:space="preserve"> (some allow searches by CAS# as well)</w:t>
      </w:r>
      <w:r>
        <w:t>:</w:t>
      </w:r>
    </w:p>
    <w:p w:rsidR="00403FAC" w:rsidRDefault="00403FAC" w:rsidP="00403FAC">
      <w:pPr>
        <w:pStyle w:val="ListParagraph"/>
        <w:numPr>
          <w:ilvl w:val="0"/>
          <w:numId w:val="3"/>
        </w:numPr>
      </w:pPr>
      <w:r w:rsidRPr="0024794E">
        <w:rPr>
          <w:b/>
        </w:rPr>
        <w:t>Sigma Aldrich</w:t>
      </w:r>
      <w:r>
        <w:t xml:space="preserve"> </w:t>
      </w:r>
      <w:hyperlink r:id="rId7" w:history="1">
        <w:r w:rsidRPr="00D55459">
          <w:rPr>
            <w:rStyle w:val="Hyperlink"/>
          </w:rPr>
          <w:t>http://www.sigmaaldrich.com/safety-center.html</w:t>
        </w:r>
      </w:hyperlink>
      <w:r>
        <w:t xml:space="preserve"> (You can search in red bar at top by chemical name or in the MSDS Search bar with product number</w:t>
      </w:r>
      <w:r w:rsidR="00267D2B">
        <w:t>.</w:t>
      </w:r>
      <w:r>
        <w:t>)</w:t>
      </w:r>
    </w:p>
    <w:p w:rsidR="00403FAC" w:rsidRPr="00403FAC" w:rsidRDefault="00403FAC" w:rsidP="000D5170">
      <w:pPr>
        <w:pStyle w:val="ListParagraph"/>
        <w:numPr>
          <w:ilvl w:val="0"/>
          <w:numId w:val="3"/>
        </w:numPr>
      </w:pPr>
      <w:r w:rsidRPr="0024794E">
        <w:rPr>
          <w:b/>
        </w:rPr>
        <w:t>Fisher Scientific</w:t>
      </w:r>
      <w:r>
        <w:t xml:space="preserve"> </w:t>
      </w:r>
      <w:r w:rsidR="000D5170" w:rsidRPr="000D5170">
        <w:rPr>
          <w:rStyle w:val="Hyperlink"/>
        </w:rPr>
        <w:t>https://www.fishersci.com/us/en/catalog/search/</w:t>
      </w:r>
      <w:proofErr w:type="gramStart"/>
      <w:r w:rsidR="000D5170" w:rsidRPr="000D5170">
        <w:rPr>
          <w:rStyle w:val="Hyperlink"/>
        </w:rPr>
        <w:t>sdshome.html</w:t>
      </w:r>
      <w:r>
        <w:t xml:space="preserve">  (</w:t>
      </w:r>
      <w:proofErr w:type="gramEnd"/>
      <w:r>
        <w:t xml:space="preserve">You can search here </w:t>
      </w:r>
      <w:r w:rsidRPr="00403FAC">
        <w:t xml:space="preserve">by </w:t>
      </w:r>
      <w:r w:rsidRPr="00403FAC">
        <w:rPr>
          <w:color w:val="000000"/>
        </w:rPr>
        <w:t xml:space="preserve">catalog number, CAS number, </w:t>
      </w:r>
      <w:r>
        <w:rPr>
          <w:color w:val="000000"/>
        </w:rPr>
        <w:t xml:space="preserve">or </w:t>
      </w:r>
      <w:r w:rsidRPr="00403FAC">
        <w:rPr>
          <w:color w:val="000000"/>
        </w:rPr>
        <w:t>chemi</w:t>
      </w:r>
      <w:r>
        <w:rPr>
          <w:color w:val="000000"/>
        </w:rPr>
        <w:t>cal name</w:t>
      </w:r>
      <w:r w:rsidR="00267D2B">
        <w:rPr>
          <w:color w:val="000000"/>
        </w:rPr>
        <w:t>.</w:t>
      </w:r>
      <w:r>
        <w:rPr>
          <w:color w:val="000000"/>
        </w:rPr>
        <w:t>)</w:t>
      </w:r>
    </w:p>
    <w:p w:rsidR="00403FAC" w:rsidRDefault="00403FAC" w:rsidP="000D5170">
      <w:pPr>
        <w:pStyle w:val="ListParagraph"/>
        <w:numPr>
          <w:ilvl w:val="0"/>
          <w:numId w:val="3"/>
        </w:numPr>
      </w:pPr>
      <w:r w:rsidRPr="0024794E">
        <w:rPr>
          <w:b/>
        </w:rPr>
        <w:t>VWR</w:t>
      </w:r>
      <w:r>
        <w:t xml:space="preserve"> </w:t>
      </w:r>
      <w:r w:rsidR="000D5170" w:rsidRPr="000D5170">
        <w:rPr>
          <w:rStyle w:val="Hyperlink"/>
        </w:rPr>
        <w:t>https://us.vwr.com/store/search/searchMSDS.jsp</w:t>
      </w:r>
      <w:r>
        <w:t xml:space="preserve"> (You can search here by name or Manufacture</w:t>
      </w:r>
      <w:r w:rsidR="00267D2B">
        <w:t>r</w:t>
      </w:r>
      <w:r>
        <w:t xml:space="preserve"> plus Part Number combination.)</w:t>
      </w:r>
    </w:p>
    <w:p w:rsidR="00403FAC" w:rsidRDefault="00403FAC" w:rsidP="00403FAC">
      <w:pPr>
        <w:pStyle w:val="ListParagraph"/>
        <w:numPr>
          <w:ilvl w:val="0"/>
          <w:numId w:val="3"/>
        </w:numPr>
      </w:pPr>
      <w:r w:rsidRPr="0024794E">
        <w:rPr>
          <w:b/>
        </w:rPr>
        <w:t>BASF</w:t>
      </w:r>
      <w:r>
        <w:t xml:space="preserve"> </w:t>
      </w:r>
      <w:hyperlink r:id="rId8" w:history="1">
        <w:r w:rsidRPr="00D55459">
          <w:rPr>
            <w:rStyle w:val="Hyperlink"/>
          </w:rPr>
          <w:t>http://worldaccount.basf.com/wa/msds/na/search</w:t>
        </w:r>
      </w:hyperlink>
      <w:r w:rsidR="00E015ED">
        <w:t xml:space="preserve"> (You can sear</w:t>
      </w:r>
      <w:r>
        <w:t>ch here by product name or number.)</w:t>
      </w:r>
    </w:p>
    <w:p w:rsidR="00403FAC" w:rsidRDefault="00403FAC" w:rsidP="000D5170">
      <w:pPr>
        <w:pStyle w:val="ListParagraph"/>
        <w:numPr>
          <w:ilvl w:val="0"/>
          <w:numId w:val="3"/>
        </w:numPr>
      </w:pPr>
      <w:r w:rsidRPr="0024794E">
        <w:rPr>
          <w:b/>
        </w:rPr>
        <w:t>DOW</w:t>
      </w:r>
      <w:r w:rsidR="00E015ED">
        <w:t xml:space="preserve"> </w:t>
      </w:r>
      <w:r w:rsidR="000D5170" w:rsidRPr="000D5170">
        <w:rPr>
          <w:rStyle w:val="Hyperlink"/>
        </w:rPr>
        <w:t>https://www.dow.com/en-us/support/sds-finder</w:t>
      </w:r>
      <w:r w:rsidR="00E015ED">
        <w:t xml:space="preserve"> (You can search by product code or name.)</w:t>
      </w:r>
    </w:p>
    <w:p w:rsidR="00914802" w:rsidRPr="0024794E" w:rsidRDefault="00914802" w:rsidP="000D5170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794E">
        <w:rPr>
          <w:rStyle w:val="Strong"/>
          <w:rFonts w:eastAsia="Times New Roman" w:cs="Arial"/>
          <w:color w:val="000000"/>
        </w:rPr>
        <w:t>AkzoNobel</w:t>
      </w:r>
      <w:proofErr w:type="spellEnd"/>
      <w:r w:rsidRPr="0024794E">
        <w:rPr>
          <w:rFonts w:eastAsia="Times New Roman" w:cs="Arial"/>
          <w:b/>
          <w:color w:val="000000"/>
        </w:rPr>
        <w:t> </w:t>
      </w:r>
      <w:r w:rsidR="000D5170" w:rsidRPr="000D5170">
        <w:rPr>
          <w:rStyle w:val="Hyperlink"/>
          <w:rFonts w:eastAsia="Times New Roman" w:cs="Arial"/>
        </w:rPr>
        <w:t>http://my.anaac.net/msds</w:t>
      </w:r>
      <w:r w:rsidR="0024794E">
        <w:rPr>
          <w:rFonts w:eastAsia="Times New Roman" w:cs="Arial"/>
          <w:color w:val="000000"/>
        </w:rPr>
        <w:t xml:space="preserve"> (You search by product name.)</w:t>
      </w:r>
    </w:p>
    <w:p w:rsidR="00914802" w:rsidRDefault="0024794E" w:rsidP="000D5170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24794E">
        <w:rPr>
          <w:rStyle w:val="Strong"/>
          <w:rFonts w:asciiTheme="minorHAnsi" w:hAnsiTheme="minorHAnsi" w:cs="Arial"/>
          <w:color w:val="000000"/>
          <w:sz w:val="22"/>
          <w:szCs w:val="22"/>
        </w:rPr>
        <w:t>A</w:t>
      </w:r>
      <w:r w:rsidR="00914802" w:rsidRPr="0024794E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lfa </w:t>
      </w:r>
      <w:proofErr w:type="spellStart"/>
      <w:r w:rsidR="00914802" w:rsidRPr="0024794E">
        <w:rPr>
          <w:rStyle w:val="Strong"/>
          <w:rFonts w:asciiTheme="minorHAnsi" w:hAnsiTheme="minorHAnsi" w:cs="Arial"/>
          <w:color w:val="000000"/>
          <w:sz w:val="22"/>
          <w:szCs w:val="22"/>
        </w:rPr>
        <w:t>Aesar</w:t>
      </w:r>
      <w:proofErr w:type="spellEnd"/>
      <w:r w:rsidRPr="0024794E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5170" w:rsidRPr="000D5170">
        <w:rPr>
          <w:rStyle w:val="Hyperlink"/>
          <w:rFonts w:asciiTheme="minorHAnsi" w:hAnsiTheme="minorHAnsi" w:cs="Arial"/>
          <w:sz w:val="22"/>
          <w:szCs w:val="22"/>
        </w:rPr>
        <w:t xml:space="preserve">https://www.alfa.com/en/catalog/sds/H51712/ </w:t>
      </w:r>
      <w:r>
        <w:rPr>
          <w:rFonts w:asciiTheme="minorHAnsi" w:hAnsiTheme="minorHAnsi" w:cs="Arial"/>
          <w:color w:val="000000"/>
          <w:sz w:val="22"/>
          <w:szCs w:val="22"/>
        </w:rPr>
        <w:t>(You can search by product number in the Document Search or by product name in the top blue header.)</w:t>
      </w:r>
    </w:p>
    <w:p w:rsidR="0024794E" w:rsidRPr="00E959BC" w:rsidRDefault="0024794E" w:rsidP="0024794E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</w:rPr>
      </w:pPr>
      <w:r w:rsidRPr="0024794E">
        <w:rPr>
          <w:rStyle w:val="Strong"/>
          <w:rFonts w:eastAsia="Times New Roman" w:cs="Arial"/>
          <w:color w:val="000000"/>
        </w:rPr>
        <w:t xml:space="preserve">Spectrum Chemicals and Laboratory Products </w:t>
      </w:r>
      <w:hyperlink r:id="rId9" w:history="1">
        <w:r w:rsidRPr="0024794E">
          <w:rPr>
            <w:rStyle w:val="Hyperlink"/>
            <w:rFonts w:cs="Arial"/>
          </w:rPr>
          <w:t>https://www.spectrumchemical.com/OA_HTML/xxsc_MSDS.jsp?sitex=10020:22372:US</w:t>
        </w:r>
      </w:hyperlink>
      <w:r w:rsidRPr="0024794E">
        <w:rPr>
          <w:rFonts w:cs="Arial"/>
          <w:color w:val="000000"/>
        </w:rPr>
        <w:t xml:space="preserve"> (You can search by item number or chemical name)</w:t>
      </w:r>
    </w:p>
    <w:p w:rsidR="00E959BC" w:rsidRDefault="00E959BC" w:rsidP="000C4642">
      <w:pPr>
        <w:ind w:left="360"/>
      </w:pPr>
      <w:r>
        <w:rPr>
          <w:rFonts w:eastAsia="Times New Roman" w:cs="Arial"/>
          <w:color w:val="000000"/>
        </w:rPr>
        <w:t xml:space="preserve">You can also perform a search engine search. </w:t>
      </w:r>
      <w:r>
        <w:t xml:space="preserve">Using your favorite search engine to search on "manufacturer + chemical name + MSDS (or SDS)" or "chemical name + MSDS (or SDS)" or "CAS number + MSDS (or SDS)" will turn up the correct result 99% of the time. Some providers charge for their service and others provide it free. </w:t>
      </w:r>
    </w:p>
    <w:p w:rsidR="00E959BC" w:rsidRPr="00E959BC" w:rsidRDefault="00E959BC" w:rsidP="000C4642">
      <w:pPr>
        <w:ind w:left="360"/>
        <w:rPr>
          <w:rFonts w:eastAsia="Times New Roman" w:cs="Arial"/>
          <w:color w:val="000000"/>
        </w:rPr>
      </w:pPr>
      <w:r>
        <w:t xml:space="preserve">The free </w:t>
      </w:r>
      <w:hyperlink r:id="rId10" w:history="1">
        <w:r>
          <w:rPr>
            <w:rStyle w:val="Hyperlink"/>
          </w:rPr>
          <w:t>University of Vermo</w:t>
        </w:r>
        <w:r>
          <w:rPr>
            <w:rStyle w:val="Hyperlink"/>
          </w:rPr>
          <w:t>n</w:t>
        </w:r>
        <w:r>
          <w:rPr>
            <w:rStyle w:val="Hyperlink"/>
          </w:rPr>
          <w:t>t M</w:t>
        </w:r>
        <w:r>
          <w:rPr>
            <w:rStyle w:val="Hyperlink"/>
          </w:rPr>
          <w:t>S</w:t>
        </w:r>
        <w:r>
          <w:rPr>
            <w:rStyle w:val="Hyperlink"/>
          </w:rPr>
          <w:t>DS site</w:t>
        </w:r>
      </w:hyperlink>
      <w:r>
        <w:t xml:space="preserve"> is also a useful site for chemicals that are in common use on university campuses.</w:t>
      </w:r>
    </w:p>
    <w:p w:rsidR="00E959BC" w:rsidRPr="00E959BC" w:rsidRDefault="00E959BC" w:rsidP="000C4642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E959BC">
        <w:rPr>
          <w:u w:val="single"/>
        </w:rPr>
        <w:t>Ask Distr</w:t>
      </w:r>
      <w:r>
        <w:rPr>
          <w:u w:val="single"/>
        </w:rPr>
        <w:t xml:space="preserve">ibutor </w:t>
      </w:r>
      <w:r w:rsidRPr="00E959BC">
        <w:rPr>
          <w:u w:val="single"/>
        </w:rPr>
        <w:t>or Manufacturer</w:t>
      </w:r>
    </w:p>
    <w:p w:rsidR="000C7F4B" w:rsidRDefault="00267D2B" w:rsidP="00E959BC">
      <w:pPr>
        <w:ind w:left="360"/>
      </w:pPr>
      <w:r>
        <w:t xml:space="preserve">Call or e-mail the manufacturer and request they send or e-mail you a copy of the </w:t>
      </w:r>
      <w:r w:rsidR="004F17F3">
        <w:t>current</w:t>
      </w:r>
      <w:r>
        <w:t xml:space="preserve"> SDS. Their contact information with be included on the current MSDSs</w:t>
      </w:r>
      <w:r w:rsidR="00914802">
        <w:t xml:space="preserve"> or possibly the container labels</w:t>
      </w:r>
      <w:r>
        <w:t>.</w:t>
      </w:r>
    </w:p>
    <w:p w:rsidR="00E959BC" w:rsidRPr="00E959BC" w:rsidRDefault="00E959BC" w:rsidP="000C4642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E959BC">
        <w:rPr>
          <w:u w:val="single"/>
        </w:rPr>
        <w:lastRenderedPageBreak/>
        <w:t>Receive by Mail</w:t>
      </w:r>
    </w:p>
    <w:p w:rsidR="00914802" w:rsidRDefault="00914802" w:rsidP="00E959BC">
      <w:pPr>
        <w:ind w:left="360"/>
      </w:pPr>
      <w:r>
        <w:t xml:space="preserve">Some manufacturers may continue to send out hard copies, but you would have to contact the actual manufacturer to inquire. </w:t>
      </w:r>
    </w:p>
    <w:p w:rsidR="000C7F4B" w:rsidRDefault="00914802">
      <w:pPr>
        <w:rPr>
          <w:b/>
        </w:rPr>
      </w:pPr>
      <w:r>
        <w:rPr>
          <w:b/>
        </w:rPr>
        <w:t>How do I know if the MSDS I have now is already in the new format?</w:t>
      </w:r>
    </w:p>
    <w:p w:rsidR="00914802" w:rsidRPr="00C465C5" w:rsidRDefault="00914802">
      <w:r w:rsidRPr="00C465C5">
        <w:t>There</w:t>
      </w:r>
      <w:r w:rsidR="00C465C5">
        <w:t xml:space="preserve"> are few criteria if all met would indicate you have the new format already on hand.</w:t>
      </w:r>
    </w:p>
    <w:p w:rsidR="000C7F4B" w:rsidRPr="00D02F14" w:rsidRDefault="000C7F4B" w:rsidP="00631727">
      <w:pPr>
        <w:pStyle w:val="ListParagraph"/>
        <w:numPr>
          <w:ilvl w:val="0"/>
          <w:numId w:val="1"/>
        </w:numPr>
        <w:ind w:left="360"/>
      </w:pPr>
      <w:r w:rsidRPr="00D02F14">
        <w:t>Does it have 1</w:t>
      </w:r>
      <w:r w:rsidR="000C4642">
        <w:t>1</w:t>
      </w:r>
      <w:r w:rsidR="000E4612" w:rsidRPr="00D02F14">
        <w:t xml:space="preserve"> or 16</w:t>
      </w:r>
      <w:r w:rsidRPr="00D02F14">
        <w:t xml:space="preserve"> sections?</w:t>
      </w:r>
    </w:p>
    <w:p w:rsidR="000C7F4B" w:rsidRPr="00D02F14" w:rsidRDefault="000C7F4B" w:rsidP="00631727">
      <w:pPr>
        <w:pStyle w:val="ListParagraph"/>
        <w:numPr>
          <w:ilvl w:val="0"/>
          <w:numId w:val="1"/>
        </w:numPr>
        <w:ind w:left="360"/>
      </w:pPr>
      <w:r w:rsidRPr="00D02F14">
        <w:t xml:space="preserve">Do the </w:t>
      </w:r>
      <w:r w:rsidR="000E4612" w:rsidRPr="00D02F14">
        <w:t>1</w:t>
      </w:r>
      <w:r w:rsidR="000C4642">
        <w:t>1</w:t>
      </w:r>
      <w:r w:rsidR="000E4612" w:rsidRPr="00D02F14">
        <w:t xml:space="preserve"> or 16</w:t>
      </w:r>
      <w:r w:rsidRPr="00D02F14">
        <w:t xml:space="preserve"> sections match the following order?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1, Identification</w:t>
      </w:r>
      <w:r w:rsidRPr="00D02F14">
        <w:rPr>
          <w:rFonts w:asciiTheme="minorHAnsi" w:hAnsiTheme="minorHAnsi" w:cs="Tahoma"/>
          <w:sz w:val="22"/>
          <w:szCs w:val="22"/>
        </w:rPr>
        <w:t xml:space="preserve"> includes product identifier; manufacturer or distributor name, address, phone number; emergency phone number; recommended use; restrictions on use.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2, Hazard(s) identification</w:t>
      </w:r>
      <w:r w:rsidRPr="00D02F14">
        <w:rPr>
          <w:rFonts w:asciiTheme="minorHAnsi" w:hAnsiTheme="minorHAnsi" w:cs="Tahoma"/>
          <w:sz w:val="22"/>
          <w:szCs w:val="22"/>
        </w:rPr>
        <w:t xml:space="preserve"> includes all hazards regarding the chemical; required label elements.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3, Composition/information on ingredients</w:t>
      </w:r>
      <w:r w:rsidRPr="00D02F14">
        <w:rPr>
          <w:rFonts w:asciiTheme="minorHAnsi" w:hAnsiTheme="minorHAnsi" w:cs="Tahoma"/>
          <w:sz w:val="22"/>
          <w:szCs w:val="22"/>
        </w:rPr>
        <w:t xml:space="preserve"> includes information on chemical ingredients; trade secret claims.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4, First-aid measures</w:t>
      </w:r>
      <w:r w:rsidRPr="00D02F14">
        <w:rPr>
          <w:rFonts w:asciiTheme="minorHAnsi" w:hAnsiTheme="minorHAnsi" w:cs="Tahoma"/>
          <w:sz w:val="22"/>
          <w:szCs w:val="22"/>
        </w:rPr>
        <w:t xml:space="preserve"> includes important symptoms/ effects, acute, delayed; required treatment.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5, Fire-fighting measures</w:t>
      </w:r>
      <w:r w:rsidRPr="00D02F14">
        <w:rPr>
          <w:rFonts w:asciiTheme="minorHAnsi" w:hAnsiTheme="minorHAnsi" w:cs="Tahoma"/>
          <w:sz w:val="22"/>
          <w:szCs w:val="22"/>
        </w:rPr>
        <w:t xml:space="preserve"> lists suitable extinguishing techniques, equipment; chemical hazards from fire.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6, Accidental release measures</w:t>
      </w:r>
      <w:r w:rsidRPr="00D02F14">
        <w:rPr>
          <w:rFonts w:asciiTheme="minorHAnsi" w:hAnsiTheme="minorHAnsi" w:cs="Tahoma"/>
          <w:sz w:val="22"/>
          <w:szCs w:val="22"/>
        </w:rPr>
        <w:t xml:space="preserve"> lists emergency procedures; protective equipment; proper methods of containment and cleanup.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7, Handling and storage</w:t>
      </w:r>
      <w:r w:rsidRPr="00D02F14">
        <w:rPr>
          <w:rFonts w:asciiTheme="minorHAnsi" w:hAnsiTheme="minorHAnsi" w:cs="Tahoma"/>
          <w:sz w:val="22"/>
          <w:szCs w:val="22"/>
        </w:rPr>
        <w:t xml:space="preserve"> lists precautions for safe handling and storage, including incompatibilities.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8, Exposure controls/personal protection</w:t>
      </w:r>
      <w:r w:rsidRPr="00D02F14">
        <w:rPr>
          <w:rFonts w:asciiTheme="minorHAnsi" w:hAnsiTheme="minorHAnsi" w:cs="Tahoma"/>
          <w:sz w:val="22"/>
          <w:szCs w:val="22"/>
        </w:rPr>
        <w:t xml:space="preserve"> lists OSHA's Permissible Exposure Limits (PELs); Threshold Limit Values (TLVs); appropriate engineering controls; personal protective equipment (PPE).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9, Physical and chemical properties</w:t>
      </w:r>
      <w:r w:rsidRPr="00D02F14">
        <w:rPr>
          <w:rFonts w:asciiTheme="minorHAnsi" w:hAnsiTheme="minorHAnsi" w:cs="Tahoma"/>
          <w:sz w:val="22"/>
          <w:szCs w:val="22"/>
        </w:rPr>
        <w:t xml:space="preserve"> lists the chemical's characteristics.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10, Stability and reactivity</w:t>
      </w:r>
      <w:r w:rsidRPr="00D02F14">
        <w:rPr>
          <w:rFonts w:asciiTheme="minorHAnsi" w:hAnsiTheme="minorHAnsi" w:cs="Tahoma"/>
          <w:sz w:val="22"/>
          <w:szCs w:val="22"/>
        </w:rPr>
        <w:t xml:space="preserve"> lists chemical stability and possibility of hazardous reactions.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Style w:val="Strong"/>
          <w:rFonts w:asciiTheme="minorHAnsi" w:hAnsiTheme="minorHAnsi" w:cs="Tahoma"/>
          <w:sz w:val="22"/>
          <w:szCs w:val="22"/>
        </w:rPr>
        <w:t>Section 11, Toxicological information</w:t>
      </w:r>
      <w:r w:rsidRPr="00D02F14">
        <w:rPr>
          <w:rFonts w:asciiTheme="minorHAnsi" w:hAnsiTheme="minorHAnsi" w:cs="Tahoma"/>
          <w:sz w:val="22"/>
          <w:szCs w:val="22"/>
        </w:rPr>
        <w:t xml:space="preserve"> includes routes of exposure; related symptoms, acute and chronic effects; numerical measures of toxicity.</w:t>
      </w:r>
    </w:p>
    <w:p w:rsidR="000E4612" w:rsidRPr="004F17F3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b/>
          <w:sz w:val="22"/>
          <w:szCs w:val="22"/>
        </w:rPr>
      </w:pPr>
      <w:r w:rsidRPr="004F17F3">
        <w:rPr>
          <w:rFonts w:asciiTheme="minorHAnsi" w:hAnsiTheme="minorHAnsi" w:cs="Tahoma"/>
          <w:b/>
          <w:sz w:val="22"/>
          <w:szCs w:val="22"/>
        </w:rPr>
        <w:t>Sections 1</w:t>
      </w:r>
      <w:r w:rsidR="000C4642" w:rsidRPr="004F17F3">
        <w:rPr>
          <w:rFonts w:asciiTheme="minorHAnsi" w:hAnsiTheme="minorHAnsi" w:cs="Tahoma"/>
          <w:b/>
          <w:sz w:val="22"/>
          <w:szCs w:val="22"/>
        </w:rPr>
        <w:t>2</w:t>
      </w:r>
      <w:r w:rsidRPr="004F17F3">
        <w:rPr>
          <w:rFonts w:asciiTheme="minorHAnsi" w:hAnsiTheme="minorHAnsi" w:cs="Tahoma"/>
          <w:b/>
          <w:sz w:val="22"/>
          <w:szCs w:val="22"/>
        </w:rPr>
        <w:t xml:space="preserve">-16 are not required by OSHA: </w:t>
      </w:r>
    </w:p>
    <w:p w:rsidR="000C4642" w:rsidRPr="00D02F14" w:rsidRDefault="000C464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Fonts w:asciiTheme="minorHAnsi" w:hAnsiTheme="minorHAnsi" w:cs="Tahoma"/>
          <w:sz w:val="22"/>
          <w:szCs w:val="22"/>
        </w:rPr>
        <w:t>Sec</w:t>
      </w:r>
      <w:r>
        <w:rPr>
          <w:rFonts w:asciiTheme="minorHAnsi" w:hAnsiTheme="minorHAnsi" w:cs="Tahoma"/>
          <w:sz w:val="22"/>
          <w:szCs w:val="22"/>
        </w:rPr>
        <w:t>tion 12, Ecological information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Fonts w:asciiTheme="minorHAnsi" w:hAnsiTheme="minorHAnsi" w:cs="Tahoma"/>
          <w:sz w:val="22"/>
          <w:szCs w:val="22"/>
        </w:rPr>
        <w:t>Sect</w:t>
      </w:r>
      <w:r w:rsidR="000C4642">
        <w:rPr>
          <w:rFonts w:asciiTheme="minorHAnsi" w:hAnsiTheme="minorHAnsi" w:cs="Tahoma"/>
          <w:sz w:val="22"/>
          <w:szCs w:val="22"/>
        </w:rPr>
        <w:t>ion 13, Disposal considerations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Fonts w:asciiTheme="minorHAnsi" w:hAnsiTheme="minorHAnsi" w:cs="Tahoma"/>
          <w:sz w:val="22"/>
          <w:szCs w:val="22"/>
        </w:rPr>
        <w:t>Se</w:t>
      </w:r>
      <w:r w:rsidR="000C4642">
        <w:rPr>
          <w:rFonts w:asciiTheme="minorHAnsi" w:hAnsiTheme="minorHAnsi" w:cs="Tahoma"/>
          <w:sz w:val="22"/>
          <w:szCs w:val="22"/>
        </w:rPr>
        <w:t>ction 14, Transport information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="Tahoma"/>
          <w:sz w:val="22"/>
          <w:szCs w:val="22"/>
        </w:rPr>
      </w:pPr>
      <w:r w:rsidRPr="00D02F14">
        <w:rPr>
          <w:rFonts w:asciiTheme="minorHAnsi" w:hAnsiTheme="minorHAnsi" w:cs="Tahoma"/>
          <w:sz w:val="22"/>
          <w:szCs w:val="22"/>
        </w:rPr>
        <w:t>Sec</w:t>
      </w:r>
      <w:r w:rsidR="000C4642">
        <w:rPr>
          <w:rFonts w:asciiTheme="minorHAnsi" w:hAnsiTheme="minorHAnsi" w:cs="Tahoma"/>
          <w:sz w:val="22"/>
          <w:szCs w:val="22"/>
        </w:rPr>
        <w:t>tion 15, Regulatory information</w:t>
      </w:r>
    </w:p>
    <w:p w:rsidR="000E4612" w:rsidRPr="00D02F14" w:rsidRDefault="000E4612" w:rsidP="004F17F3">
      <w:pPr>
        <w:pStyle w:val="blackten1"/>
        <w:shd w:val="clear" w:color="auto" w:fill="FFFFFF"/>
        <w:spacing w:before="0" w:beforeAutospacing="0" w:after="60" w:afterAutospacing="0"/>
        <w:ind w:left="1080" w:hanging="720"/>
        <w:rPr>
          <w:rFonts w:asciiTheme="minorHAnsi" w:hAnsiTheme="minorHAnsi" w:cs="Tahoma"/>
          <w:sz w:val="22"/>
          <w:szCs w:val="22"/>
        </w:rPr>
      </w:pPr>
      <w:r w:rsidRPr="004F17F3">
        <w:rPr>
          <w:rStyle w:val="Strong"/>
          <w:rFonts w:asciiTheme="minorHAnsi" w:hAnsiTheme="minorHAnsi" w:cs="Tahoma"/>
          <w:sz w:val="22"/>
          <w:szCs w:val="22"/>
        </w:rPr>
        <w:t xml:space="preserve">Section 16, </w:t>
      </w:r>
      <w:proofErr w:type="gramStart"/>
      <w:r w:rsidRPr="004F17F3">
        <w:rPr>
          <w:rStyle w:val="Strong"/>
          <w:rFonts w:asciiTheme="minorHAnsi" w:hAnsiTheme="minorHAnsi" w:cs="Tahoma"/>
          <w:sz w:val="22"/>
          <w:szCs w:val="22"/>
        </w:rPr>
        <w:t>Othe</w:t>
      </w:r>
      <w:r w:rsidRPr="000C4642">
        <w:rPr>
          <w:rStyle w:val="Strong"/>
          <w:rFonts w:asciiTheme="minorHAnsi" w:hAnsiTheme="minorHAnsi" w:cs="Tahoma"/>
          <w:b w:val="0"/>
          <w:sz w:val="22"/>
          <w:szCs w:val="22"/>
        </w:rPr>
        <w:t>r</w:t>
      </w:r>
      <w:proofErr w:type="gramEnd"/>
      <w:r w:rsidRPr="000C4642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 information</w:t>
      </w:r>
      <w:r w:rsidRPr="00D02F14">
        <w:rPr>
          <w:rStyle w:val="Strong"/>
          <w:rFonts w:asciiTheme="minorHAnsi" w:hAnsiTheme="minorHAnsi" w:cs="Tahoma"/>
          <w:sz w:val="22"/>
          <w:szCs w:val="22"/>
        </w:rPr>
        <w:t>,</w:t>
      </w:r>
      <w:r w:rsidRPr="00D02F14">
        <w:rPr>
          <w:rFonts w:asciiTheme="minorHAnsi" w:hAnsiTheme="minorHAnsi" w:cs="Tahoma"/>
          <w:sz w:val="22"/>
          <w:szCs w:val="22"/>
        </w:rPr>
        <w:t xml:space="preserve"> includes the date of preparation or last revision.</w:t>
      </w:r>
    </w:p>
    <w:p w:rsidR="00D02F14" w:rsidRPr="00D02F14" w:rsidRDefault="00D02F14" w:rsidP="00631727">
      <w:pPr>
        <w:spacing w:after="0"/>
        <w:rPr>
          <w:sz w:val="18"/>
          <w:szCs w:val="18"/>
        </w:rPr>
      </w:pPr>
    </w:p>
    <w:p w:rsidR="000C7F4B" w:rsidRDefault="000C7F4B" w:rsidP="00631727">
      <w:pPr>
        <w:pStyle w:val="ListParagraph"/>
        <w:numPr>
          <w:ilvl w:val="0"/>
          <w:numId w:val="1"/>
        </w:numPr>
        <w:ind w:left="360"/>
      </w:pPr>
      <w:r>
        <w:t>Does Section 2 include pictograms, hazard statements, precautionary statements and the signal word?</w:t>
      </w:r>
    </w:p>
    <w:p w:rsidR="000C7F4B" w:rsidRDefault="000C7F4B" w:rsidP="004F17F3">
      <w:pPr>
        <w:ind w:firstLine="360"/>
      </w:pPr>
      <w:r>
        <w:t>If yes to all of the above</w:t>
      </w:r>
      <w:r w:rsidR="000C4642">
        <w:t xml:space="preserve"> 3 questions</w:t>
      </w:r>
      <w:r w:rsidR="004F17F3">
        <w:t>,</w:t>
      </w:r>
      <w:bookmarkStart w:id="0" w:name="_GoBack"/>
      <w:bookmarkEnd w:id="0"/>
      <w:r>
        <w:t xml:space="preserve"> it is in the new format.</w:t>
      </w:r>
    </w:p>
    <w:sectPr w:rsidR="000C7F4B" w:rsidSect="00EB4395">
      <w:headerReference w:type="default" r:id="rId11"/>
      <w:pgSz w:w="12240" w:h="15840"/>
      <w:pgMar w:top="10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70" w:rsidRDefault="000D5170" w:rsidP="000D5170">
      <w:pPr>
        <w:spacing w:after="0" w:line="240" w:lineRule="auto"/>
      </w:pPr>
      <w:r>
        <w:separator/>
      </w:r>
    </w:p>
  </w:endnote>
  <w:endnote w:type="continuationSeparator" w:id="0">
    <w:p w:rsidR="000D5170" w:rsidRDefault="000D5170" w:rsidP="000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70" w:rsidRDefault="000D5170" w:rsidP="000D5170">
      <w:pPr>
        <w:spacing w:after="0" w:line="240" w:lineRule="auto"/>
      </w:pPr>
      <w:r>
        <w:separator/>
      </w:r>
    </w:p>
  </w:footnote>
  <w:footnote w:type="continuationSeparator" w:id="0">
    <w:p w:rsidR="000D5170" w:rsidRDefault="000D5170" w:rsidP="000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70" w:rsidRPr="000D5170" w:rsidRDefault="000D5170" w:rsidP="000D5170">
    <w:pPr>
      <w:jc w:val="center"/>
      <w:rPr>
        <w:b/>
      </w:rPr>
    </w:pPr>
    <w:r w:rsidRPr="000E4612">
      <w:rPr>
        <w:b/>
      </w:rPr>
      <w:t xml:space="preserve">FAQ Transition from MSDS to </w:t>
    </w:r>
    <w:proofErr w:type="gramStart"/>
    <w:r w:rsidRPr="000E4612">
      <w:rPr>
        <w:b/>
      </w:rPr>
      <w:t>SDSs</w:t>
    </w:r>
    <w:r>
      <w:rPr>
        <w:b/>
      </w:rPr>
      <w:t xml:space="preserve">  -</w:t>
    </w:r>
    <w:proofErr w:type="gramEnd"/>
    <w:r>
      <w:rPr>
        <w:b/>
      </w:rPr>
      <w:t xml:space="preserve"> Updated 1/31/19</w:t>
    </w:r>
  </w:p>
  <w:p w:rsidR="000D5170" w:rsidRDefault="000D5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94D"/>
    <w:multiLevelType w:val="hybridMultilevel"/>
    <w:tmpl w:val="982EA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7FF6"/>
    <w:multiLevelType w:val="hybridMultilevel"/>
    <w:tmpl w:val="25CE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3AB"/>
    <w:multiLevelType w:val="hybridMultilevel"/>
    <w:tmpl w:val="7276B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DB3F3E"/>
    <w:multiLevelType w:val="hybridMultilevel"/>
    <w:tmpl w:val="799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528F"/>
    <w:multiLevelType w:val="hybridMultilevel"/>
    <w:tmpl w:val="188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B"/>
    <w:rsid w:val="000C4642"/>
    <w:rsid w:val="000C7F4B"/>
    <w:rsid w:val="000D5170"/>
    <w:rsid w:val="000E4612"/>
    <w:rsid w:val="0024794E"/>
    <w:rsid w:val="00267D2B"/>
    <w:rsid w:val="00403FAC"/>
    <w:rsid w:val="004C79E2"/>
    <w:rsid w:val="004F17F3"/>
    <w:rsid w:val="005A4C87"/>
    <w:rsid w:val="00631727"/>
    <w:rsid w:val="00672927"/>
    <w:rsid w:val="00914802"/>
    <w:rsid w:val="00B25D99"/>
    <w:rsid w:val="00C465C5"/>
    <w:rsid w:val="00D02F14"/>
    <w:rsid w:val="00E015ED"/>
    <w:rsid w:val="00E07FF4"/>
    <w:rsid w:val="00E959BC"/>
    <w:rsid w:val="00E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6C5E"/>
  <w15:docId w15:val="{FAC5780B-0951-4EF7-A0BC-37D917C9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F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8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79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12"/>
    <w:rPr>
      <w:rFonts w:ascii="Tahoma" w:hAnsi="Tahoma" w:cs="Tahoma"/>
      <w:sz w:val="16"/>
      <w:szCs w:val="16"/>
    </w:rPr>
  </w:style>
  <w:style w:type="paragraph" w:customStyle="1" w:styleId="blackten1">
    <w:name w:val="blackten1"/>
    <w:basedOn w:val="Normal"/>
    <w:rsid w:val="000E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70"/>
  </w:style>
  <w:style w:type="paragraph" w:styleId="Footer">
    <w:name w:val="footer"/>
    <w:basedOn w:val="Normal"/>
    <w:link w:val="FooterChar"/>
    <w:uiPriority w:val="99"/>
    <w:unhideWhenUsed/>
    <w:rsid w:val="000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96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959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662">
                      <w:marLeft w:val="600"/>
                      <w:marRight w:val="0"/>
                      <w:marTop w:val="150"/>
                      <w:marBottom w:val="0"/>
                      <w:divBdr>
                        <w:top w:val="single" w:sz="12" w:space="8" w:color="C9C9C9"/>
                        <w:left w:val="single" w:sz="12" w:space="8" w:color="C9C9C9"/>
                        <w:bottom w:val="single" w:sz="12" w:space="8" w:color="C9C9C9"/>
                        <w:right w:val="single" w:sz="12" w:space="8" w:color="C9C9C9"/>
                      </w:divBdr>
                    </w:div>
                  </w:divsChild>
                </w:div>
              </w:divsChild>
            </w:div>
          </w:divsChild>
        </w:div>
      </w:divsChild>
    </w:div>
    <w:div w:id="794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account.basf.com/wa/msds/na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gmaaldrich.com/safety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azard.com/ms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ctrumchemical.com/OA_HTML/xxsc_MSDS.jsp?sitex=10020:22372: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ralayman</dc:creator>
  <cp:lastModifiedBy>Rachel Layman</cp:lastModifiedBy>
  <cp:revision>2</cp:revision>
  <cp:lastPrinted>2019-01-31T21:50:00Z</cp:lastPrinted>
  <dcterms:created xsi:type="dcterms:W3CDTF">2019-02-01T13:35:00Z</dcterms:created>
  <dcterms:modified xsi:type="dcterms:W3CDTF">2019-02-01T13:35:00Z</dcterms:modified>
</cp:coreProperties>
</file>